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2B28B0"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AD6D79" w:rsidRPr="007A568A" w:rsidRDefault="00AD6D79" w:rsidP="00AD6D79">
      <w:pPr>
        <w:jc w:val="center"/>
        <w:rPr>
          <w:rStyle w:val="Grietas"/>
        </w:rPr>
      </w:pPr>
      <w:r w:rsidRPr="007A568A">
        <w:rPr>
          <w:rStyle w:val="Grietas"/>
        </w:rPr>
        <w:t>KLAIPĖDOS LOPŠELIO-DARŽELIO „ŽUVĖDRA“</w:t>
      </w:r>
    </w:p>
    <w:p w:rsidR="0006079E" w:rsidRDefault="00AD6D79" w:rsidP="00AD6D79">
      <w:pPr>
        <w:jc w:val="center"/>
        <w:rPr>
          <w:b/>
        </w:rPr>
      </w:pPr>
      <w:r w:rsidRPr="007A568A">
        <w:rPr>
          <w:rStyle w:val="Grietas"/>
        </w:rPr>
        <w:t>2022 METŲ VEIKLOS ATASKAITA</w:t>
      </w:r>
    </w:p>
    <w:p w:rsidR="00832CC9" w:rsidRPr="00F72A1E" w:rsidRDefault="00832CC9" w:rsidP="0006079E">
      <w:pPr>
        <w:jc w:val="center"/>
      </w:pPr>
    </w:p>
    <w:p w:rsidR="00AD6D79" w:rsidRPr="007A568A" w:rsidRDefault="00AD6D79" w:rsidP="00AD6D79">
      <w:pPr>
        <w:pStyle w:val="Sraopastraipa"/>
        <w:spacing w:after="0" w:line="240" w:lineRule="auto"/>
        <w:ind w:left="5" w:firstLine="568"/>
        <w:jc w:val="both"/>
        <w:rPr>
          <w:rFonts w:ascii="Times New Roman" w:hAnsi="Times New Roman" w:cs="Times New Roman"/>
          <w:bCs/>
          <w:sz w:val="24"/>
          <w:szCs w:val="24"/>
        </w:rPr>
      </w:pPr>
      <w:r w:rsidRPr="007A568A">
        <w:rPr>
          <w:rFonts w:ascii="Times New Roman" w:hAnsi="Times New Roman" w:cs="Times New Roman"/>
          <w:sz w:val="24"/>
          <w:szCs w:val="24"/>
        </w:rPr>
        <w:t>Klaipėdos lopšelio-darželio „Žuvėdra“ (toliau – Įstaiga) 2022–2024 metų strateginiame ir 2022 metų veiklos planuose nustatyti tikslai ir uždaviniai buvo orientuoti į ugdymo paslaugų kokybės didinimą ir Įstaigos materialinės bazės gerinimą. 2022 metų veiklos prioritetinės kryptys –</w:t>
      </w:r>
      <w:r w:rsidRPr="007A568A">
        <w:rPr>
          <w:rFonts w:ascii="Times New Roman" w:hAnsi="Times New Roman" w:cs="Times New Roman"/>
          <w:sz w:val="24"/>
          <w:szCs w:val="24"/>
          <w:lang w:val="pt-BR"/>
        </w:rPr>
        <w:t xml:space="preserve"> </w:t>
      </w:r>
      <w:r w:rsidRPr="007A568A">
        <w:rPr>
          <w:rFonts w:ascii="Times New Roman" w:hAnsi="Times New Roman" w:cs="Times New Roman"/>
          <w:bCs/>
          <w:sz w:val="24"/>
          <w:szCs w:val="24"/>
        </w:rPr>
        <w:t>profesinis pedagogų skaitmeninio raštingumo tobulinimas (gilinimas), naudojant informacines komunikacines technologijas (toliau – IKT) ir skaitmeninį ugdymo turinį;</w:t>
      </w:r>
      <w:r w:rsidRPr="007A568A">
        <w:rPr>
          <w:rFonts w:ascii="Times New Roman" w:hAnsi="Times New Roman" w:cs="Times New Roman"/>
          <w:bCs/>
          <w:caps/>
          <w:sz w:val="24"/>
          <w:szCs w:val="24"/>
        </w:rPr>
        <w:t xml:space="preserve"> </w:t>
      </w:r>
      <w:r w:rsidRPr="007A568A">
        <w:rPr>
          <w:rFonts w:ascii="Times New Roman" w:hAnsi="Times New Roman" w:cs="Times New Roman"/>
          <w:sz w:val="24"/>
          <w:szCs w:val="24"/>
        </w:rPr>
        <w:t>inovatyvaus (informatinio mąstymo, projektinio, įtraukiojo, STEAM) ugdymo užtikrinimas.</w:t>
      </w:r>
      <w:r w:rsidRPr="007A568A">
        <w:rPr>
          <w:rFonts w:ascii="Times New Roman" w:hAnsi="Times New Roman" w:cs="Times New Roman"/>
          <w:bCs/>
          <w:caps/>
          <w:sz w:val="24"/>
          <w:szCs w:val="24"/>
        </w:rPr>
        <w:t xml:space="preserve"> </w:t>
      </w:r>
      <w:r w:rsidRPr="007A568A">
        <w:rPr>
          <w:rFonts w:ascii="Times New Roman" w:hAnsi="Times New Roman" w:cs="Times New Roman"/>
          <w:sz w:val="24"/>
          <w:szCs w:val="24"/>
        </w:rPr>
        <w:t xml:space="preserve">Strateginių tikslų įgyvendinimui iškelti trys metinės veiklos tikslai: </w:t>
      </w:r>
      <w:r w:rsidRPr="007A568A">
        <w:rPr>
          <w:rFonts w:ascii="Times New Roman" w:hAnsi="Times New Roman" w:cs="Times New Roman"/>
          <w:bCs/>
          <w:sz w:val="24"/>
          <w:szCs w:val="24"/>
        </w:rPr>
        <w:t xml:space="preserve">pedagogų skaitmeninio raštingumo tobulinimas, integruojant IKT į kokybišką ugdymo(si) procesą; inovatyvaus ugdymo užtikrinimas, sutelkiant dėmesį į įtraukųjį ugdymą, vaikų informatinio mąstymo, projektinę ir STEAM veiklas; </w:t>
      </w:r>
      <w:r w:rsidR="003E0BB3">
        <w:rPr>
          <w:rFonts w:ascii="Times New Roman" w:hAnsi="Times New Roman" w:cs="Times New Roman"/>
          <w:bCs/>
          <w:sz w:val="24"/>
          <w:szCs w:val="24"/>
        </w:rPr>
        <w:t>Į</w:t>
      </w:r>
      <w:r w:rsidRPr="007A568A">
        <w:rPr>
          <w:rFonts w:ascii="Times New Roman" w:hAnsi="Times New Roman" w:cs="Times New Roman"/>
          <w:bCs/>
          <w:sz w:val="24"/>
          <w:szCs w:val="24"/>
        </w:rPr>
        <w:t xml:space="preserve">staigos materialinės bazės turtinimas. </w:t>
      </w:r>
      <w:r w:rsidRPr="007A568A">
        <w:rPr>
          <w:rFonts w:ascii="Times New Roman" w:hAnsi="Times New Roman" w:cs="Times New Roman"/>
          <w:sz w:val="24"/>
          <w:szCs w:val="24"/>
        </w:rPr>
        <w:t xml:space="preserve">Tikslams pasiekti buvo numatyti ir įgyvendinti 4 uždaviniai: </w:t>
      </w:r>
      <w:r w:rsidRPr="007A568A">
        <w:rPr>
          <w:rFonts w:ascii="Times New Roman" w:hAnsi="Times New Roman" w:cs="Times New Roman"/>
          <w:bCs/>
          <w:sz w:val="24"/>
          <w:szCs w:val="24"/>
        </w:rPr>
        <w:t>tobulinti pedagogų skaitmeninio raštingumo kompetencijas; ugdymo(si) procese taikyti skaitmeninius įrankius ir užtikrinti inovatyvų mokymą(si); sudaryti sąlygas skirtingų poreikių vaikų ugdymui(si) per informatinio mąstymo, projektinę ir patyriminę veiklą; skatinti pedagogų bendradarbiavimą ir gerosios patirties sklaidą inovatyvaus ugdymo kontekste.</w:t>
      </w:r>
    </w:p>
    <w:p w:rsidR="00AD6D79" w:rsidRPr="007A568A" w:rsidRDefault="00AD6D79" w:rsidP="00AD6D79">
      <w:pPr>
        <w:ind w:left="9" w:firstLine="564"/>
        <w:jc w:val="both"/>
      </w:pPr>
      <w:r w:rsidRPr="007A568A">
        <w:t>Strateginio plano ir metinio veiklos plano įgyvendinime dalyvavo 44 darbuotojai: 21 pedagoginis ir 23 nepedagoginiai darbuotojai.</w:t>
      </w:r>
    </w:p>
    <w:p w:rsidR="00AD6D79" w:rsidRPr="007A568A" w:rsidRDefault="00AD6D79" w:rsidP="00AD6D79">
      <w:pPr>
        <w:pStyle w:val="Default"/>
        <w:tabs>
          <w:tab w:val="left" w:pos="585"/>
        </w:tabs>
        <w:ind w:firstLine="573"/>
        <w:jc w:val="both"/>
        <w:rPr>
          <w:color w:val="auto"/>
        </w:rPr>
      </w:pPr>
      <w:r w:rsidRPr="007A568A">
        <w:rPr>
          <w:color w:val="auto"/>
        </w:rPr>
        <w:t xml:space="preserve">Parengtas 2023–2025 metų strateginis planas, metinis Įstaigos veiklos planas, mokytojų kvalifikacijos tobulinimo programa, </w:t>
      </w:r>
      <w:r w:rsidRPr="007A568A">
        <w:rPr>
          <w:color w:val="auto"/>
          <w:lang w:eastAsia="en-US"/>
        </w:rPr>
        <w:t xml:space="preserve">mokytojų ir pagalbos mokiniui specialistų (išskyrus psichologus) 2023–2025 metų atestacijos programa. </w:t>
      </w:r>
      <w:r w:rsidRPr="007A568A">
        <w:rPr>
          <w:color w:val="auto"/>
        </w:rPr>
        <w:t xml:space="preserve">Užtikrintas švietimo paslaugų prieinamumas 185 vaikams. Suformuotos 2 ankstyvojo, 6 ikimokyklinio, 2 priešmokyklinio ugdymo grupės. </w:t>
      </w:r>
    </w:p>
    <w:p w:rsidR="00AD6D79" w:rsidRPr="007A568A" w:rsidRDefault="00AD6D79" w:rsidP="00AD6D79">
      <w:pPr>
        <w:ind w:firstLine="573"/>
        <w:jc w:val="both"/>
        <w:rPr>
          <w:shd w:val="clear" w:color="auto" w:fill="FFFFFF"/>
        </w:rPr>
      </w:pPr>
      <w:r w:rsidRPr="007A568A">
        <w:t>Vaikų maitinimo paslauga 100 proc. atitiko teisės aktų nustatytus reikalavimus. Organizuotas 3 kartų maitinimas, pagerinant ir praturtinant vaikų mitybą vaisiais ir pieno produktais.</w:t>
      </w:r>
      <w:r w:rsidRPr="007A568A">
        <w:rPr>
          <w:shd w:val="clear" w:color="auto" w:fill="FFFFFF"/>
        </w:rPr>
        <w:t xml:space="preserve"> </w:t>
      </w:r>
      <w:r w:rsidRPr="007A568A">
        <w:rPr>
          <w:bCs/>
        </w:rPr>
        <w:t>100 proc. mokesčio už maitinimą lengvata taikyta 3 vaikams, 50 proc. – 27 vaikams.</w:t>
      </w:r>
    </w:p>
    <w:p w:rsidR="00AD6D79" w:rsidRPr="007A568A" w:rsidRDefault="00AD6D79" w:rsidP="00AD6D79">
      <w:pPr>
        <w:tabs>
          <w:tab w:val="left" w:pos="851"/>
        </w:tabs>
        <w:ind w:firstLine="573"/>
        <w:jc w:val="both"/>
        <w:rPr>
          <w:shd w:val="clear" w:color="auto" w:fill="FFFFFF"/>
        </w:rPr>
      </w:pPr>
      <w:r w:rsidRPr="007A568A">
        <w:t xml:space="preserve">Į ikimokyklinio ugdymo programą ir atnaujintą priešmokyklinio ugdymo bendrąją programą buvo integruotos neformaliojo vaikų švietimo Sveikos gyvensenos ugdymo ir Fizinio aktyvumo ugdymo programos, Kalbos ugdymo programa, Meninio ugdymo programa, patyčių prevencija ir intervencija. 2 priešmokyklinio ugdymo grupėse įgyvendinta tarptautinė socialinių ir emocinių įgūdžių ugdymo programa „Zipio draugai“ bei </w:t>
      </w:r>
      <w:r w:rsidR="00F47B61">
        <w:t>ši programa</w:t>
      </w:r>
      <w:r w:rsidRPr="007A568A">
        <w:t xml:space="preserve"> specialiųjų ugdymosi poreikių turintiems vaikams. Priešmokyklinio ugdymo grupėje įgyvendinta </w:t>
      </w:r>
      <w:r w:rsidRPr="007A568A">
        <w:rPr>
          <w:shd w:val="clear" w:color="auto" w:fill="FFFFFF"/>
        </w:rPr>
        <w:t xml:space="preserve">emocinio intelekto ugdymo programa „Kimochis“. </w:t>
      </w:r>
      <w:r w:rsidRPr="007A568A">
        <w:rPr>
          <w:rFonts w:eastAsia="Calibri"/>
        </w:rPr>
        <w:t xml:space="preserve">Parengta 2022–2027 m. m. sveikatos stiprinimo programa „Augame sveiki, stiprūs, saugūs“. Nacionalinio sveikatą stiprinančių mokyklų tinklo ir aktyvių mokyklų veiklos koordinavimo komisijos Įstaiga pripažinta </w:t>
      </w:r>
      <w:r w:rsidRPr="00F47B61">
        <w:rPr>
          <w:rFonts w:eastAsia="Calibri"/>
          <w:iCs/>
        </w:rPr>
        <w:t>sveikatą stiprinančia mokykla</w:t>
      </w:r>
      <w:r w:rsidRPr="00F47B61">
        <w:rPr>
          <w:rFonts w:eastAsia="Calibri"/>
        </w:rPr>
        <w:t>.</w:t>
      </w:r>
      <w:r w:rsidRPr="007A568A">
        <w:rPr>
          <w:rFonts w:eastAsia="Calibri"/>
        </w:rPr>
        <w:t xml:space="preserve"> </w:t>
      </w:r>
    </w:p>
    <w:p w:rsidR="00AD6D79" w:rsidRPr="007A568A" w:rsidRDefault="00AD6D79" w:rsidP="00AD6D79">
      <w:pPr>
        <w:ind w:firstLine="573"/>
        <w:jc w:val="both"/>
        <w:rPr>
          <w:shd w:val="clear" w:color="auto" w:fill="FFFFFF"/>
        </w:rPr>
      </w:pPr>
      <w:r w:rsidRPr="007A568A">
        <w:rPr>
          <w:szCs w:val="20"/>
          <w:shd w:val="clear" w:color="auto" w:fill="FFFFFF"/>
        </w:rPr>
        <w:t>42 ugdytiniams</w:t>
      </w:r>
      <w:r w:rsidRPr="007A568A">
        <w:t xml:space="preserve"> teikta logopedo pagalba</w:t>
      </w:r>
      <w:r w:rsidRPr="007A568A">
        <w:rPr>
          <w:szCs w:val="20"/>
          <w:shd w:val="clear" w:color="auto" w:fill="FFFFFF"/>
        </w:rPr>
        <w:t xml:space="preserve">: 12 ugdytinių kalbos sutrikimas įveiktas, 30 – iš dalies įveiktas. Vyko 7 Vaiko gerovės komisijos posėdžiai: 4 planuoti ir 3 neeiliniai. 2022 metais gautos 5 pažymos iš </w:t>
      </w:r>
      <w:r w:rsidR="00F47B61">
        <w:rPr>
          <w:szCs w:val="20"/>
          <w:shd w:val="clear" w:color="auto" w:fill="FFFFFF"/>
        </w:rPr>
        <w:t>Klaipėdos p</w:t>
      </w:r>
      <w:r w:rsidRPr="007A568A">
        <w:rPr>
          <w:szCs w:val="20"/>
          <w:shd w:val="clear" w:color="auto" w:fill="FFFFFF"/>
        </w:rPr>
        <w:t>edagoginės psichologinės tarnybos dėl specialiojo ugdymosi ir švietimo pagalbos skyrimo (3 ugdytiniams nustatyti dideli ugdymosi poreikiai, 2 – vidutiniai ugdymosi poreikiai). Parengtos ir įgyvendinamos 14 pritaikytų programų, iš kurių 11 ikimokyklinio ir 3 priešmokyklinio ugdymo. Parengti 4 individualios pagalbos vaikui planai.</w:t>
      </w:r>
    </w:p>
    <w:p w:rsidR="00AD6D79" w:rsidRPr="007A568A" w:rsidRDefault="00AD6D79" w:rsidP="00AD6D79">
      <w:pPr>
        <w:tabs>
          <w:tab w:val="left" w:pos="1125"/>
        </w:tabs>
        <w:ind w:firstLine="573"/>
        <w:jc w:val="both"/>
      </w:pPr>
      <w:r w:rsidRPr="007A568A">
        <w:t xml:space="preserve">Siekiant metinės veiklos pirmojo tikslo </w:t>
      </w:r>
      <w:r w:rsidRPr="007A568A">
        <w:rPr>
          <w:i/>
        </w:rPr>
        <w:t>–</w:t>
      </w:r>
      <w:r w:rsidRPr="007A568A">
        <w:t xml:space="preserve"> </w:t>
      </w:r>
      <w:r w:rsidRPr="00F47B61">
        <w:rPr>
          <w:szCs w:val="20"/>
        </w:rPr>
        <w:t xml:space="preserve">pedagogų skaitmeninio raštingumo tobulinimo, integruojant </w:t>
      </w:r>
      <w:r w:rsidRPr="00F47B61">
        <w:rPr>
          <w:iCs/>
        </w:rPr>
        <w:t>informacines komunikacines technologijas</w:t>
      </w:r>
      <w:r w:rsidRPr="00F47B61">
        <w:rPr>
          <w:szCs w:val="20"/>
        </w:rPr>
        <w:t xml:space="preserve"> į kokybišką ugdymo(si) procesą</w:t>
      </w:r>
      <w:r w:rsidRPr="007A568A">
        <w:t xml:space="preserve"> – Įstaigos veikla buvo orientuota į pedagogų kvalifikacijos tobulinimą, edukacinių veiklų, renginių organizavimą, bendradarbiavimą su socialiniais partneriais, </w:t>
      </w:r>
      <w:r w:rsidRPr="007A568A">
        <w:rPr>
          <w:bCs/>
        </w:rPr>
        <w:t xml:space="preserve">IKT </w:t>
      </w:r>
      <w:r w:rsidRPr="007A568A">
        <w:t>integravimą į ugdymo procesą.</w:t>
      </w:r>
    </w:p>
    <w:p w:rsidR="00AD6D79" w:rsidRPr="007A568A" w:rsidRDefault="00AD6D79" w:rsidP="00AD6D79">
      <w:pPr>
        <w:ind w:firstLine="573"/>
        <w:jc w:val="both"/>
      </w:pPr>
      <w:r w:rsidRPr="007A568A">
        <w:t>Tikslui pasiekti buvo numatyti ir įgyvendinti du uždaviniai:</w:t>
      </w:r>
    </w:p>
    <w:p w:rsidR="00AD6D79" w:rsidRPr="007A568A" w:rsidRDefault="00AD6D79" w:rsidP="00AD6D79">
      <w:pPr>
        <w:ind w:firstLine="573"/>
        <w:jc w:val="both"/>
      </w:pPr>
      <w:r w:rsidRPr="007A568A">
        <w:rPr>
          <w:i/>
        </w:rPr>
        <w:lastRenderedPageBreak/>
        <w:t>–</w:t>
      </w:r>
      <w:r w:rsidRPr="007A568A">
        <w:t xml:space="preserve"> įgyvendinant pirmąjį uždavinį – </w:t>
      </w:r>
      <w:r w:rsidRPr="007852EE">
        <w:rPr>
          <w:iCs/>
        </w:rPr>
        <w:t>tobulinti pedagogų skaitmeninio raštingumo kompetenc</w:t>
      </w:r>
      <w:r w:rsidRPr="007852EE">
        <w:t>ij</w:t>
      </w:r>
      <w:r w:rsidRPr="007A568A">
        <w:t>as – kvalifikacijos tobulinimo renginiuose dalyvauta 314 dienų (2626 val.). Vienas mokytojas profesinę kvalifikaciją tobulino vidutiniškai 15 dienų per metus. Miesto metodiniuose susirinkimuose profesinės kompetencijos tobulintinos 52 kartus. Gilinant pedagogų skaitmeninio raštingumo kompetencijas, taikytos virtualios mokymui(si) skirtos aplinkos ir įrankiai („Microsoft Teams“, „Zoom“,</w:t>
      </w:r>
      <w:r w:rsidRPr="007A568A">
        <w:rPr>
          <w:shd w:val="clear" w:color="auto" w:fill="FFFFFF"/>
        </w:rPr>
        <w:t xml:space="preserve"> ,,Moodle“, ,,Word“, ,,Excel“,</w:t>
      </w:r>
      <w:r w:rsidRPr="007A568A">
        <w:t xml:space="preserve"> „Power points“, „Skype“, „Viber“, „Padlet“, „Messenger“, „Bookcreator“,</w:t>
      </w:r>
      <w:r w:rsidRPr="007A568A">
        <w:rPr>
          <w:shd w:val="clear" w:color="auto" w:fill="FFFFFF"/>
        </w:rPr>
        <w:t xml:space="preserve"> grafinio dizaino įrankis</w:t>
      </w:r>
      <w:r w:rsidRPr="007A568A">
        <w:t xml:space="preserve"> ,,</w:t>
      </w:r>
      <w:r w:rsidRPr="007A568A">
        <w:rPr>
          <w:shd w:val="clear" w:color="auto" w:fill="FFFFFF"/>
        </w:rPr>
        <w:t xml:space="preserve">Canva“ </w:t>
      </w:r>
      <w:r w:rsidRPr="007A568A">
        <w:t>ir kt.). 66 proc. pedagogų efektyviau patobulino (pagilino) skaitmeninio raštingumo kompetencijas;</w:t>
      </w:r>
    </w:p>
    <w:p w:rsidR="00AD6D79" w:rsidRPr="007A568A" w:rsidRDefault="00AD6D79" w:rsidP="00AD6D79">
      <w:pPr>
        <w:ind w:firstLine="573"/>
        <w:jc w:val="both"/>
      </w:pPr>
      <w:r w:rsidRPr="007A568A">
        <w:t xml:space="preserve">– įgyvendinant antrąjį uždavinį – </w:t>
      </w:r>
      <w:r w:rsidRPr="007852EE">
        <w:rPr>
          <w:iCs/>
        </w:rPr>
        <w:t>ugdymo(si) procese taikyti skaitmeninius įrankius ir užtikrinti inovatyvų mokymą(si)</w:t>
      </w:r>
      <w:r w:rsidRPr="007A568A">
        <w:rPr>
          <w:i/>
          <w:iCs/>
        </w:rPr>
        <w:t xml:space="preserve"> </w:t>
      </w:r>
      <w:r w:rsidRPr="007A568A">
        <w:t xml:space="preserve">– organizuota ir dalyvauta 264 edukaciniuose-kultūriniuose renginiuose, projektuose (22 tarptautiniuose, 50 respublikos, 38 miesto, 154 Įstaigos). Vykdytos 308 prevencinės veiklos. Su socialiniais partneriais organizuota 40 jungtinių veiklų. Parengta, aprobuota ir Metodinėje taryboje patvirtinta 12 skaitmeninių metodinių priemonių. </w:t>
      </w:r>
      <w:bookmarkStart w:id="3" w:name="_Hlk123136132"/>
      <w:r w:rsidRPr="007A568A">
        <w:rPr>
          <w:iCs/>
        </w:rPr>
        <w:t>Ugdymo(si) procese taikant skaitmeninius įrankius ir užtikrinant inovatyvų mokymą(si)</w:t>
      </w:r>
      <w:r w:rsidRPr="007A568A">
        <w:t>, teigiamas pokytis, lyginant su 2021 m</w:t>
      </w:r>
      <w:r w:rsidR="007852EE">
        <w:t xml:space="preserve">., buvo </w:t>
      </w:r>
      <w:r w:rsidRPr="007A568A">
        <w:t>63 proc.</w:t>
      </w:r>
      <w:bookmarkEnd w:id="3"/>
      <w:r w:rsidRPr="007A568A">
        <w:t xml:space="preserve"> </w:t>
      </w:r>
    </w:p>
    <w:p w:rsidR="00AD6D79" w:rsidRPr="007A568A" w:rsidRDefault="00AD6D79" w:rsidP="00AD6D79">
      <w:pPr>
        <w:ind w:firstLine="573"/>
        <w:jc w:val="both"/>
      </w:pPr>
      <w:r w:rsidRPr="007A568A">
        <w:t xml:space="preserve">Siekiant metinės veiklos antrojo tikslo </w:t>
      </w:r>
      <w:r w:rsidRPr="007A568A">
        <w:rPr>
          <w:i/>
        </w:rPr>
        <w:t xml:space="preserve">– </w:t>
      </w:r>
      <w:r w:rsidRPr="007852EE">
        <w:t>inovatyvaus ugdymo užtikrinimo, sutelkiant dėmesį į įtraukųjį ugdymą, vaikų informatinio mąstymo, projektinę ir STEAM veiklas</w:t>
      </w:r>
      <w:r w:rsidRPr="007A568A">
        <w:rPr>
          <w:i/>
          <w:szCs w:val="20"/>
        </w:rPr>
        <w:t xml:space="preserve"> </w:t>
      </w:r>
      <w:r w:rsidRPr="007A568A">
        <w:t>– Įstaigos veikla buvo orientuota į įtraukiojo ugdymo, projektinės ir STEAM veiklos integravimą į ugdymo(si) procesą, vaikų informa</w:t>
      </w:r>
      <w:r w:rsidR="007852EE">
        <w:t>c</w:t>
      </w:r>
      <w:r w:rsidRPr="007A568A">
        <w:t>inio mąstymo gebėjimų lavinimą, pedagogų gerosios patirties sklaidą inovatyvaus ugdymo kontekste.</w:t>
      </w:r>
    </w:p>
    <w:p w:rsidR="00AD6D79" w:rsidRPr="007A568A" w:rsidRDefault="00AD6D79" w:rsidP="00AD6D79">
      <w:pPr>
        <w:ind w:firstLine="573"/>
        <w:jc w:val="both"/>
        <w:rPr>
          <w:szCs w:val="20"/>
        </w:rPr>
      </w:pPr>
      <w:r w:rsidRPr="007A568A">
        <w:rPr>
          <w:szCs w:val="20"/>
        </w:rPr>
        <w:t>Tikslui pasiekti buvo numatyti ir įgyvendinti du uždaviniai:</w:t>
      </w:r>
    </w:p>
    <w:p w:rsidR="00AD6D79" w:rsidRPr="007A568A" w:rsidRDefault="00AD6D79" w:rsidP="00AD6D79">
      <w:pPr>
        <w:ind w:firstLine="573"/>
        <w:jc w:val="both"/>
        <w:rPr>
          <w:shd w:val="clear" w:color="auto" w:fill="FFFFFF"/>
        </w:rPr>
      </w:pPr>
      <w:r w:rsidRPr="007A568A">
        <w:t xml:space="preserve">– įgyvendinant pirmąjį uždavinį – </w:t>
      </w:r>
      <w:r w:rsidRPr="007852EE">
        <w:rPr>
          <w:iCs/>
        </w:rPr>
        <w:t>sudaryti sąlygas skirtingų poreikių vaikų ugdymui(si) per informatinio mąstymo, projektinę ir patyriminę veiklą</w:t>
      </w:r>
      <w:r w:rsidRPr="007A568A">
        <w:rPr>
          <w:i/>
          <w:iCs/>
        </w:rPr>
        <w:t xml:space="preserve"> </w:t>
      </w:r>
      <w:r w:rsidRPr="007A568A">
        <w:rPr>
          <w:i/>
        </w:rPr>
        <w:t xml:space="preserve">– </w:t>
      </w:r>
      <w:r w:rsidRPr="007A568A">
        <w:t>100 proc. užtikrintas ugdymo prieinamumas ir veiksmingumas specialiųjų ugdymosi poreikių turintiems vaikams</w:t>
      </w:r>
      <w:r w:rsidRPr="007A568A">
        <w:rPr>
          <w:shd w:val="clear" w:color="auto" w:fill="FFFFFF"/>
        </w:rPr>
        <w:t xml:space="preserve">, tinkamai organizuotas pagalbos vaikui, šeimai teikimas. </w:t>
      </w:r>
      <w:r w:rsidRPr="007A568A">
        <w:t>Išklausyta 1850 val. kvalifikacijos tobulinimo mokymų įtraukiojo ugdymo, informa</w:t>
      </w:r>
      <w:r w:rsidR="007852EE">
        <w:t>c</w:t>
      </w:r>
      <w:r w:rsidRPr="007A568A">
        <w:t>inio mąstymo, projektinės ir tiriamosios veiklos tematika. Sėkmingai įgyvendinta ,,Besimokančių darželių tinklo“ ilgalaikė programa (72 val.),</w:t>
      </w:r>
      <w:r w:rsidRPr="007A568A">
        <w:rPr>
          <w:shd w:val="clear" w:color="auto" w:fill="FFFFFF"/>
        </w:rPr>
        <w:t xml:space="preserve"> kuri 2022  metais </w:t>
      </w:r>
      <w:r w:rsidRPr="007A568A">
        <w:rPr>
          <w:bCs/>
          <w:shd w:val="clear" w:color="auto" w:fill="FFFFFF"/>
        </w:rPr>
        <w:t xml:space="preserve">buvo </w:t>
      </w:r>
      <w:r w:rsidRPr="007A568A">
        <w:rPr>
          <w:shd w:val="clear" w:color="auto" w:fill="FFFFFF"/>
        </w:rPr>
        <w:t xml:space="preserve">dedikuota vis daugiau susidomėjimo ir praktinio pritaikymo darželyje sulaukiančiai </w:t>
      </w:r>
      <w:r w:rsidRPr="007A568A">
        <w:rPr>
          <w:bCs/>
          <w:shd w:val="clear" w:color="auto" w:fill="FFFFFF"/>
        </w:rPr>
        <w:t>STEAM ugdymo filosofijai</w:t>
      </w:r>
      <w:r w:rsidRPr="007A568A">
        <w:t>.</w:t>
      </w:r>
      <w:r w:rsidRPr="007A568A">
        <w:rPr>
          <w:shd w:val="clear" w:color="auto" w:fill="FFFFFF"/>
        </w:rPr>
        <w:t xml:space="preserve"> </w:t>
      </w:r>
      <w:r w:rsidRPr="007A568A">
        <w:rPr>
          <w:rFonts w:eastAsia="Calibri"/>
          <w:lang w:eastAsia="lt-LT"/>
        </w:rPr>
        <w:t xml:space="preserve">Naudojant inovatyvius metodus, priemones, </w:t>
      </w:r>
      <w:r w:rsidRPr="007A568A">
        <w:rPr>
          <w:shd w:val="clear" w:color="auto" w:fill="FFFFFF"/>
        </w:rPr>
        <w:t>kuriant naujas ir atnaujinant esamas ugdomąsias aplinkas</w:t>
      </w:r>
      <w:r w:rsidRPr="007A568A">
        <w:rPr>
          <w:rFonts w:eastAsia="Calibri"/>
          <w:lang w:eastAsia="lt-LT"/>
        </w:rPr>
        <w:t xml:space="preserve">, </w:t>
      </w:r>
      <w:r w:rsidRPr="007A568A">
        <w:t>100 proc. užtikrintas vaikų informa</w:t>
      </w:r>
      <w:r w:rsidR="007852EE">
        <w:t>c</w:t>
      </w:r>
      <w:r w:rsidRPr="007A568A">
        <w:t xml:space="preserve">inių gebėjimų ugdymas, įgyjant </w:t>
      </w:r>
      <w:r w:rsidRPr="007A568A">
        <w:rPr>
          <w:bCs/>
        </w:rPr>
        <w:t xml:space="preserve">IKT </w:t>
      </w:r>
      <w:r w:rsidRPr="007A568A">
        <w:t>išmanymo ir kritiško vartojimo pradmenis.</w:t>
      </w:r>
      <w:r w:rsidRPr="007A568A">
        <w:rPr>
          <w:shd w:val="clear" w:color="auto" w:fill="FFFFFF"/>
        </w:rPr>
        <w:t xml:space="preserve"> </w:t>
      </w:r>
      <w:r w:rsidRPr="007A568A">
        <w:t xml:space="preserve">Atnaujinus priešmokyklinio ugdymo bendrąją programą ir aktualizuojat jos turinį, </w:t>
      </w:r>
      <w:r w:rsidRPr="007A568A">
        <w:rPr>
          <w:rFonts w:eastAsia="Calibri"/>
        </w:rPr>
        <w:t xml:space="preserve">priešmokyklinio amžiaus vaikų grupėse </w:t>
      </w:r>
      <w:r w:rsidRPr="007A568A">
        <w:t>sėkmingai taikomas</w:t>
      </w:r>
      <w:r w:rsidRPr="007A568A">
        <w:rPr>
          <w:rFonts w:eastAsia="Calibri"/>
        </w:rPr>
        <w:t xml:space="preserve"> </w:t>
      </w:r>
      <w:r w:rsidRPr="007A568A">
        <w:t>kontekstualus projektų metodas, susijęs su santykiais, susitarimais, patyrimais ir atradimais, efektyviai tenkino vaikų bendravimo, pažinimo, saugumo, aktyvumo, judėjimo, saviraiškos ir pripažinimo poreikius. Įgyvendinta 19 STEAM projektų, organizuotos 129 patyriminės veiklos,</w:t>
      </w:r>
      <w:r w:rsidRPr="007A568A">
        <w:rPr>
          <w:shd w:val="clear" w:color="auto" w:fill="FFFFFF"/>
        </w:rPr>
        <w:t xml:space="preserve"> 54 eksperimentai, </w:t>
      </w:r>
      <w:r w:rsidRPr="007A568A">
        <w:t>197 tiriamosios veiklos, inovacijomis grįsti vaikų vaidinimai grupėje ar lauke, išvykos, viktorinos, valandėlės, pokalbiai ir kt. Teigiamas pokytis, lyginant su 2021 m. – 61 proc.;</w:t>
      </w:r>
    </w:p>
    <w:p w:rsidR="00AD6D79" w:rsidRPr="007A568A" w:rsidRDefault="00AD6D79" w:rsidP="00AD6D79">
      <w:pPr>
        <w:ind w:firstLine="573"/>
        <w:jc w:val="both"/>
        <w:rPr>
          <w:shd w:val="clear" w:color="auto" w:fill="FFFFFF"/>
        </w:rPr>
      </w:pPr>
      <w:r w:rsidRPr="007A568A">
        <w:t xml:space="preserve">– įgyvendinant antrąjį uždavinį – </w:t>
      </w:r>
      <w:r w:rsidRPr="00032299">
        <w:rPr>
          <w:iCs/>
        </w:rPr>
        <w:t>skatinti pedagogų bendradarbiavimą ir gerosios patirties sklaidą inovatyvaus ugdymo kontekste</w:t>
      </w:r>
      <w:r w:rsidRPr="00032299">
        <w:t xml:space="preserve"> –</w:t>
      </w:r>
      <w:r w:rsidRPr="007A568A">
        <w:t xml:space="preserve"> dalyvauta 15 metodinių dienų, pristatyti 49 pranešimai (17 miesto, 3 respublikos, 29 instituciniuose renginiuose). Organizuota 12 atvirų veiklų. Dalintasi gerąja patirtimi su Klaipėdos universiteto Socialinių ir humanitarinių mokslų fakulteto Vaikystės pedagogikos studijų programos studentais, skaitytos 2 paskaitos, organizuoti 2 mokymai, 4 </w:t>
      </w:r>
      <w:r w:rsidRPr="007A568A">
        <w:rPr>
          <w:shd w:val="clear" w:color="auto" w:fill="FFFFFF"/>
        </w:rPr>
        <w:t xml:space="preserve">seminarai. </w:t>
      </w:r>
      <w:r w:rsidRPr="007A568A">
        <w:t xml:space="preserve">Teigiamas pokytis, lyginant su 2021 m., užtikrinant gerosios patirties sklaidą – 76 proc. </w:t>
      </w:r>
    </w:p>
    <w:p w:rsidR="00AD6D79" w:rsidRPr="007A568A" w:rsidRDefault="00AD6D79" w:rsidP="00AD6D79">
      <w:pPr>
        <w:autoSpaceDE w:val="0"/>
        <w:autoSpaceDN w:val="0"/>
        <w:adjustRightInd w:val="0"/>
        <w:ind w:firstLine="567"/>
        <w:jc w:val="both"/>
        <w:rPr>
          <w:rFonts w:eastAsia="+mn-ea"/>
        </w:rPr>
      </w:pPr>
      <w:r w:rsidRPr="007A568A">
        <w:t xml:space="preserve">Siekiant metinės veiklos trečiojo tikslo – </w:t>
      </w:r>
      <w:r w:rsidR="003E0BB3" w:rsidRPr="00032299">
        <w:t>Į</w:t>
      </w:r>
      <w:r w:rsidRPr="00032299">
        <w:t>staigos materialinės bazės turtinimas</w:t>
      </w:r>
      <w:r w:rsidRPr="007A568A">
        <w:rPr>
          <w:b/>
        </w:rPr>
        <w:t xml:space="preserve"> </w:t>
      </w:r>
      <w:r w:rsidRPr="007A568A">
        <w:t xml:space="preserve">– įgyvendintos šios priemonės: </w:t>
      </w:r>
      <w:r w:rsidRPr="007A568A">
        <w:rPr>
          <w:rFonts w:eastAsia="+mn-ea"/>
        </w:rPr>
        <w:t xml:space="preserve">10 </w:t>
      </w:r>
      <w:r w:rsidR="003E0BB3">
        <w:rPr>
          <w:rFonts w:eastAsia="+mn-ea"/>
        </w:rPr>
        <w:t>Į</w:t>
      </w:r>
      <w:r w:rsidRPr="007A568A">
        <w:rPr>
          <w:rFonts w:eastAsia="+mn-ea"/>
        </w:rPr>
        <w:t>staig</w:t>
      </w:r>
      <w:r>
        <w:rPr>
          <w:rFonts w:eastAsia="+mn-ea"/>
        </w:rPr>
        <w:t xml:space="preserve">os grupių pakeistos „Amstrong“ </w:t>
      </w:r>
      <w:r w:rsidRPr="007A568A">
        <w:rPr>
          <w:rFonts w:eastAsia="+mn-ea"/>
        </w:rPr>
        <w:t xml:space="preserve">pakabinamos lubos ir šviestuvai (18,2 tūkst. Eur), įrengtas daugiafunkcis kambarys su būtinu inventoriumi (8,4 tūkst. Eur), įkurtas interaktyvus kambarys (5,1 tūkst. Eur). Valgykloje įrengtas kondicionierius (1,0 tūkst. Eur), atnaujintas virtuvės inventorius (0,55 tūkst. Eur), atnaujinta patalynė (0,77 tūkst. Eur). 2 grupėse pakeisti </w:t>
      </w:r>
      <w:r w:rsidR="00032299">
        <w:rPr>
          <w:rFonts w:eastAsia="+mn-ea"/>
        </w:rPr>
        <w:t>v</w:t>
      </w:r>
      <w:r w:rsidRPr="007A568A">
        <w:rPr>
          <w:rFonts w:eastAsia="+mn-ea"/>
        </w:rPr>
        <w:t>aikiški baldai (0,7 tūkst. Eur), 4 grupėse pakeistos apsauginės žaliuzės (3,1 tūkst. Eur). Įsigyti 2 projekciniai ekranai (0,2 tūkst. Eur), 3 nešiojami kompiuteriai (2,0 tūkst. Eur). Atnaujintos lauko edukacinės erdvės, įrengtos 2 pavėsines (4,0 tūkst. Eur).</w:t>
      </w:r>
    </w:p>
    <w:p w:rsidR="00032299" w:rsidRDefault="00AD6D79" w:rsidP="00032299">
      <w:pPr>
        <w:autoSpaceDE w:val="0"/>
        <w:autoSpaceDN w:val="0"/>
        <w:adjustRightInd w:val="0"/>
        <w:ind w:firstLine="567"/>
        <w:jc w:val="both"/>
        <w:rPr>
          <w:rFonts w:eastAsia="+mn-ea"/>
        </w:rPr>
      </w:pPr>
      <w:r w:rsidRPr="007A568A">
        <w:rPr>
          <w:rFonts w:eastAsia="+mn-ea"/>
        </w:rPr>
        <w:lastRenderedPageBreak/>
        <w:t xml:space="preserve">Klaipėdos miesto savivaldybės administracijos </w:t>
      </w:r>
      <w:r w:rsidR="00032299">
        <w:rPr>
          <w:rFonts w:eastAsia="+mn-ea"/>
        </w:rPr>
        <w:t>Š</w:t>
      </w:r>
      <w:r w:rsidRPr="007A568A">
        <w:rPr>
          <w:rFonts w:eastAsia="+mn-ea"/>
        </w:rPr>
        <w:t xml:space="preserve">vietimo skyrius </w:t>
      </w:r>
      <w:r w:rsidR="003E0BB3">
        <w:rPr>
          <w:rFonts w:eastAsia="+mn-ea"/>
        </w:rPr>
        <w:t>Į</w:t>
      </w:r>
      <w:r w:rsidRPr="007A568A">
        <w:rPr>
          <w:rFonts w:eastAsia="+mn-ea"/>
        </w:rPr>
        <w:t>staigai 2022 m. skyrė nominaciją už ugdymo aplinkų puoselėjimą.</w:t>
      </w:r>
    </w:p>
    <w:p w:rsidR="00AD6D79" w:rsidRPr="00032299" w:rsidRDefault="00AD6D79" w:rsidP="00032299">
      <w:pPr>
        <w:autoSpaceDE w:val="0"/>
        <w:autoSpaceDN w:val="0"/>
        <w:adjustRightInd w:val="0"/>
        <w:ind w:firstLine="567"/>
        <w:jc w:val="both"/>
        <w:rPr>
          <w:rFonts w:eastAsia="+mn-ea"/>
        </w:rPr>
      </w:pPr>
      <w:r w:rsidRPr="007A568A">
        <w:t>2022 m. Įstaigos finansinė situacija:</w:t>
      </w:r>
    </w:p>
    <w:tbl>
      <w:tblPr>
        <w:tblStyle w:val="Lentelstinklelis"/>
        <w:tblW w:w="9356" w:type="dxa"/>
        <w:tblInd w:w="250" w:type="dxa"/>
        <w:tblLayout w:type="fixed"/>
        <w:tblLook w:val="04A0" w:firstRow="1" w:lastRow="0" w:firstColumn="1" w:lastColumn="0" w:noHBand="0" w:noVBand="1"/>
      </w:tblPr>
      <w:tblGrid>
        <w:gridCol w:w="2268"/>
        <w:gridCol w:w="1559"/>
        <w:gridCol w:w="1222"/>
        <w:gridCol w:w="1284"/>
        <w:gridCol w:w="3023"/>
      </w:tblGrid>
      <w:tr w:rsidR="00AD6D79" w:rsidRPr="007A568A" w:rsidTr="00A24BEF">
        <w:tc>
          <w:tcPr>
            <w:tcW w:w="2268" w:type="dxa"/>
            <w:vMerge w:val="restart"/>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p>
          <w:p w:rsidR="00AD6D79" w:rsidRPr="007A568A" w:rsidRDefault="00AD6D79" w:rsidP="00CA7DD4">
            <w:pPr>
              <w:jc w:val="center"/>
            </w:pPr>
            <w:r w:rsidRPr="007A568A">
              <w:t>Finansavimo šaltinis</w:t>
            </w:r>
          </w:p>
        </w:tc>
        <w:tc>
          <w:tcPr>
            <w:tcW w:w="4065" w:type="dxa"/>
            <w:gridSpan w:val="3"/>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Lėšos (tūkst. eurų)</w:t>
            </w:r>
          </w:p>
        </w:tc>
        <w:tc>
          <w:tcPr>
            <w:tcW w:w="3023" w:type="dxa"/>
            <w:vMerge w:val="restart"/>
            <w:tcBorders>
              <w:top w:val="single" w:sz="4" w:space="0" w:color="auto"/>
              <w:left w:val="single" w:sz="4" w:space="0" w:color="auto"/>
              <w:bottom w:val="single" w:sz="4" w:space="0" w:color="auto"/>
              <w:right w:val="single" w:sz="4" w:space="0" w:color="auto"/>
            </w:tcBorders>
          </w:tcPr>
          <w:p w:rsidR="00AD6D79" w:rsidRPr="007A568A" w:rsidRDefault="00AD6D79" w:rsidP="00CA7DD4">
            <w:pPr>
              <w:jc w:val="both"/>
            </w:pPr>
          </w:p>
          <w:p w:rsidR="00AD6D79" w:rsidRPr="007A568A" w:rsidRDefault="00AD6D79" w:rsidP="00CA7DD4">
            <w:pPr>
              <w:jc w:val="center"/>
            </w:pPr>
            <w:r w:rsidRPr="007A568A">
              <w:t>Pastabos</w:t>
            </w:r>
          </w:p>
          <w:p w:rsidR="00AD6D79" w:rsidRPr="007A568A" w:rsidRDefault="00AD6D79" w:rsidP="00CA7DD4">
            <w:pPr>
              <w:jc w:val="center"/>
            </w:pPr>
          </w:p>
        </w:tc>
      </w:tr>
      <w:tr w:rsidR="00AD6D79" w:rsidRPr="007A568A" w:rsidTr="00A24BEF">
        <w:tc>
          <w:tcPr>
            <w:tcW w:w="2268" w:type="dxa"/>
            <w:vMerge/>
            <w:tcBorders>
              <w:top w:val="single" w:sz="4" w:space="0" w:color="auto"/>
              <w:left w:val="single" w:sz="4" w:space="0" w:color="auto"/>
              <w:bottom w:val="single" w:sz="4" w:space="0" w:color="auto"/>
              <w:right w:val="single" w:sz="4" w:space="0" w:color="auto"/>
            </w:tcBorders>
            <w:vAlign w:val="center"/>
            <w:hideMark/>
          </w:tcPr>
          <w:p w:rsidR="00AD6D79" w:rsidRPr="007A568A" w:rsidRDefault="00AD6D79" w:rsidP="00CA7DD4"/>
        </w:tc>
        <w:tc>
          <w:tcPr>
            <w:tcW w:w="1559"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Planas (patikslintas)</w:t>
            </w:r>
          </w:p>
        </w:tc>
        <w:tc>
          <w:tcPr>
            <w:tcW w:w="1222"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Panaudota lėšų</w:t>
            </w:r>
          </w:p>
        </w:tc>
        <w:tc>
          <w:tcPr>
            <w:tcW w:w="1284"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Įvykdymas (%)</w:t>
            </w:r>
          </w:p>
        </w:tc>
        <w:tc>
          <w:tcPr>
            <w:tcW w:w="3023" w:type="dxa"/>
            <w:vMerge/>
            <w:tcBorders>
              <w:top w:val="single" w:sz="4" w:space="0" w:color="auto"/>
              <w:left w:val="single" w:sz="4" w:space="0" w:color="auto"/>
              <w:bottom w:val="single" w:sz="4" w:space="0" w:color="auto"/>
              <w:right w:val="single" w:sz="4" w:space="0" w:color="auto"/>
            </w:tcBorders>
            <w:vAlign w:val="center"/>
            <w:hideMark/>
          </w:tcPr>
          <w:p w:rsidR="00AD6D79" w:rsidRPr="007A568A" w:rsidRDefault="00AD6D79" w:rsidP="00CA7DD4"/>
        </w:tc>
      </w:tr>
      <w:tr w:rsidR="00AD6D79" w:rsidRPr="007A568A" w:rsidTr="00A24BEF">
        <w:trPr>
          <w:trHeight w:val="415"/>
        </w:trPr>
        <w:tc>
          <w:tcPr>
            <w:tcW w:w="2268"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r w:rsidRPr="007A568A">
              <w:t>Savivaldybės biudžetas (SB)</w:t>
            </w:r>
          </w:p>
        </w:tc>
        <w:tc>
          <w:tcPr>
            <w:tcW w:w="1559"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494.000</w:t>
            </w:r>
          </w:p>
        </w:tc>
        <w:tc>
          <w:tcPr>
            <w:tcW w:w="1222"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489.977</w:t>
            </w:r>
          </w:p>
        </w:tc>
        <w:tc>
          <w:tcPr>
            <w:tcW w:w="1284"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99.19%</w:t>
            </w:r>
          </w:p>
        </w:tc>
        <w:tc>
          <w:tcPr>
            <w:tcW w:w="3023" w:type="dxa"/>
            <w:tcBorders>
              <w:top w:val="single" w:sz="4" w:space="0" w:color="auto"/>
              <w:left w:val="single" w:sz="4" w:space="0" w:color="auto"/>
              <w:bottom w:val="single" w:sz="4" w:space="0" w:color="auto"/>
              <w:right w:val="single" w:sz="4" w:space="0" w:color="auto"/>
            </w:tcBorders>
          </w:tcPr>
          <w:p w:rsidR="00AD6D79" w:rsidRPr="007A568A" w:rsidRDefault="00AD6D79" w:rsidP="00CA7DD4">
            <w:pPr>
              <w:jc w:val="center"/>
            </w:pPr>
          </w:p>
        </w:tc>
      </w:tr>
      <w:tr w:rsidR="00AD6D79" w:rsidRPr="007A568A" w:rsidTr="00A24BEF">
        <w:tc>
          <w:tcPr>
            <w:tcW w:w="2268"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r w:rsidRPr="007A568A">
              <w:t>Specialioji tikslinė dotacija (VB)</w:t>
            </w:r>
          </w:p>
        </w:tc>
        <w:tc>
          <w:tcPr>
            <w:tcW w:w="1559"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304.500</w:t>
            </w:r>
          </w:p>
        </w:tc>
        <w:tc>
          <w:tcPr>
            <w:tcW w:w="1222"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303.400</w:t>
            </w:r>
          </w:p>
        </w:tc>
        <w:tc>
          <w:tcPr>
            <w:tcW w:w="1284"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99.64%</w:t>
            </w:r>
          </w:p>
        </w:tc>
        <w:tc>
          <w:tcPr>
            <w:tcW w:w="3023" w:type="dxa"/>
            <w:tcBorders>
              <w:top w:val="single" w:sz="4" w:space="0" w:color="auto"/>
              <w:left w:val="single" w:sz="4" w:space="0" w:color="auto"/>
              <w:bottom w:val="single" w:sz="4" w:space="0" w:color="auto"/>
              <w:right w:val="single" w:sz="4" w:space="0" w:color="auto"/>
            </w:tcBorders>
          </w:tcPr>
          <w:p w:rsidR="00AD6D79" w:rsidRPr="007A568A" w:rsidRDefault="00AD6D79" w:rsidP="00CA7DD4">
            <w:pPr>
              <w:jc w:val="center"/>
            </w:pPr>
          </w:p>
        </w:tc>
      </w:tr>
      <w:tr w:rsidR="00AD6D79" w:rsidRPr="007A568A" w:rsidTr="00A24BEF">
        <w:tc>
          <w:tcPr>
            <w:tcW w:w="2268"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r w:rsidRPr="007A568A">
              <w:t>Įstaigos gautos pajamos (surinkta pajamų SP), iš jų:</w:t>
            </w:r>
          </w:p>
        </w:tc>
        <w:tc>
          <w:tcPr>
            <w:tcW w:w="1559" w:type="dxa"/>
            <w:tcBorders>
              <w:top w:val="single" w:sz="4" w:space="0" w:color="auto"/>
              <w:left w:val="single" w:sz="4" w:space="0" w:color="auto"/>
              <w:bottom w:val="single" w:sz="4" w:space="0" w:color="auto"/>
              <w:right w:val="single" w:sz="4" w:space="0" w:color="auto"/>
            </w:tcBorders>
          </w:tcPr>
          <w:p w:rsidR="00AD6D79" w:rsidRPr="007A568A" w:rsidRDefault="00AD6D79" w:rsidP="00CA7DD4">
            <w:pPr>
              <w:jc w:val="center"/>
            </w:pPr>
          </w:p>
          <w:p w:rsidR="00AD6D79" w:rsidRPr="007A568A" w:rsidRDefault="00AD6D79" w:rsidP="00CA7DD4">
            <w:pPr>
              <w:jc w:val="center"/>
            </w:pPr>
            <w:r w:rsidRPr="007A568A">
              <w:t>115.000</w:t>
            </w:r>
          </w:p>
        </w:tc>
        <w:tc>
          <w:tcPr>
            <w:tcW w:w="1222" w:type="dxa"/>
            <w:tcBorders>
              <w:top w:val="single" w:sz="4" w:space="0" w:color="auto"/>
              <w:left w:val="single" w:sz="4" w:space="0" w:color="auto"/>
              <w:bottom w:val="single" w:sz="4" w:space="0" w:color="auto"/>
              <w:right w:val="single" w:sz="4" w:space="0" w:color="auto"/>
            </w:tcBorders>
          </w:tcPr>
          <w:p w:rsidR="00AD6D79" w:rsidRPr="007A568A" w:rsidRDefault="00AD6D79" w:rsidP="00CA7DD4">
            <w:pPr>
              <w:jc w:val="center"/>
            </w:pPr>
          </w:p>
          <w:p w:rsidR="00AD6D79" w:rsidRPr="007A568A" w:rsidRDefault="00AD6D79" w:rsidP="00CA7DD4">
            <w:pPr>
              <w:jc w:val="center"/>
            </w:pPr>
            <w:r w:rsidRPr="007A568A">
              <w:t>93.513</w:t>
            </w:r>
          </w:p>
        </w:tc>
        <w:tc>
          <w:tcPr>
            <w:tcW w:w="1284" w:type="dxa"/>
            <w:tcBorders>
              <w:top w:val="single" w:sz="4" w:space="0" w:color="auto"/>
              <w:left w:val="single" w:sz="4" w:space="0" w:color="auto"/>
              <w:bottom w:val="single" w:sz="4" w:space="0" w:color="auto"/>
              <w:right w:val="single" w:sz="4" w:space="0" w:color="auto"/>
            </w:tcBorders>
          </w:tcPr>
          <w:p w:rsidR="00AD6D79" w:rsidRPr="007A568A" w:rsidRDefault="00AD6D79" w:rsidP="00CA7DD4">
            <w:pPr>
              <w:jc w:val="center"/>
            </w:pPr>
          </w:p>
          <w:p w:rsidR="00AD6D79" w:rsidRPr="007A568A" w:rsidRDefault="00AD6D79" w:rsidP="00CA7DD4">
            <w:pPr>
              <w:jc w:val="center"/>
            </w:pPr>
            <w:r w:rsidRPr="007A568A">
              <w:t>82%</w:t>
            </w:r>
          </w:p>
        </w:tc>
        <w:tc>
          <w:tcPr>
            <w:tcW w:w="3023"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both"/>
            </w:pPr>
          </w:p>
        </w:tc>
      </w:tr>
      <w:tr w:rsidR="00AD6D79" w:rsidRPr="007A568A" w:rsidTr="00A24BEF">
        <w:trPr>
          <w:trHeight w:val="477"/>
        </w:trPr>
        <w:tc>
          <w:tcPr>
            <w:tcW w:w="2268"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r w:rsidRPr="007A568A">
              <w:t>Pajamų išlaidos (SP)</w:t>
            </w:r>
          </w:p>
        </w:tc>
        <w:tc>
          <w:tcPr>
            <w:tcW w:w="1559"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w:t>
            </w:r>
          </w:p>
        </w:tc>
        <w:tc>
          <w:tcPr>
            <w:tcW w:w="1222"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93.513</w:t>
            </w:r>
          </w:p>
        </w:tc>
        <w:tc>
          <w:tcPr>
            <w:tcW w:w="1284"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w:t>
            </w:r>
          </w:p>
        </w:tc>
        <w:tc>
          <w:tcPr>
            <w:tcW w:w="3023"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both"/>
            </w:pPr>
          </w:p>
        </w:tc>
      </w:tr>
      <w:tr w:rsidR="00AD6D79" w:rsidRPr="007A568A" w:rsidTr="00A24BEF">
        <w:tc>
          <w:tcPr>
            <w:tcW w:w="2268"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r w:rsidRPr="007A568A">
              <w:t>Kitos lėšos (parama 1,2 % GPM ir kt.)</w:t>
            </w:r>
          </w:p>
        </w:tc>
        <w:tc>
          <w:tcPr>
            <w:tcW w:w="1559" w:type="dxa"/>
            <w:tcBorders>
              <w:top w:val="single" w:sz="4" w:space="0" w:color="auto"/>
              <w:left w:val="single" w:sz="4" w:space="0" w:color="auto"/>
              <w:bottom w:val="single" w:sz="4" w:space="0" w:color="auto"/>
              <w:right w:val="single" w:sz="4" w:space="0" w:color="auto"/>
            </w:tcBorders>
          </w:tcPr>
          <w:p w:rsidR="00AD6D79" w:rsidRPr="007A568A" w:rsidRDefault="00AD6D79" w:rsidP="00CA7DD4">
            <w:pPr>
              <w:jc w:val="center"/>
            </w:pPr>
            <w:r w:rsidRPr="007A568A">
              <w:t>10.105</w:t>
            </w:r>
          </w:p>
        </w:tc>
        <w:tc>
          <w:tcPr>
            <w:tcW w:w="1222"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4.000</w:t>
            </w:r>
          </w:p>
        </w:tc>
        <w:tc>
          <w:tcPr>
            <w:tcW w:w="1284"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center"/>
            </w:pPr>
            <w:r w:rsidRPr="007A568A">
              <w:t>40%</w:t>
            </w:r>
          </w:p>
        </w:tc>
        <w:tc>
          <w:tcPr>
            <w:tcW w:w="3023"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pPr>
              <w:jc w:val="both"/>
            </w:pPr>
            <w:r w:rsidRPr="007A568A">
              <w:t>Lėšos taupomos edukacinių erdvių kūrimui, naujų ugdymo priemonių įsigijimui</w:t>
            </w:r>
          </w:p>
        </w:tc>
      </w:tr>
      <w:tr w:rsidR="00AD6D79" w:rsidRPr="007A568A" w:rsidTr="00A24BEF">
        <w:trPr>
          <w:trHeight w:val="430"/>
        </w:trPr>
        <w:tc>
          <w:tcPr>
            <w:tcW w:w="2268" w:type="dxa"/>
            <w:tcBorders>
              <w:top w:val="single" w:sz="4" w:space="0" w:color="auto"/>
              <w:left w:val="single" w:sz="4" w:space="0" w:color="auto"/>
              <w:bottom w:val="single" w:sz="4" w:space="0" w:color="auto"/>
              <w:right w:val="single" w:sz="4" w:space="0" w:color="auto"/>
            </w:tcBorders>
            <w:hideMark/>
          </w:tcPr>
          <w:p w:rsidR="00AD6D79" w:rsidRPr="007A568A" w:rsidRDefault="00AD6D79" w:rsidP="00CA7DD4">
            <w:r w:rsidRPr="007A568A">
              <w:t>Iš viso</w:t>
            </w:r>
          </w:p>
        </w:tc>
        <w:tc>
          <w:tcPr>
            <w:tcW w:w="1559" w:type="dxa"/>
            <w:tcBorders>
              <w:top w:val="single" w:sz="4" w:space="0" w:color="auto"/>
              <w:left w:val="single" w:sz="4" w:space="0" w:color="auto"/>
              <w:bottom w:val="single" w:sz="4" w:space="0" w:color="auto"/>
              <w:right w:val="single" w:sz="4" w:space="0" w:color="auto"/>
            </w:tcBorders>
          </w:tcPr>
          <w:p w:rsidR="00AD6D79" w:rsidRPr="007A568A" w:rsidRDefault="00AD6D79" w:rsidP="00CA7DD4">
            <w:pPr>
              <w:jc w:val="center"/>
            </w:pPr>
            <w:r w:rsidRPr="007A568A">
              <w:t>923.605</w:t>
            </w:r>
          </w:p>
        </w:tc>
        <w:tc>
          <w:tcPr>
            <w:tcW w:w="1222" w:type="dxa"/>
            <w:tcBorders>
              <w:top w:val="single" w:sz="4" w:space="0" w:color="auto"/>
              <w:left w:val="single" w:sz="4" w:space="0" w:color="auto"/>
              <w:bottom w:val="single" w:sz="4" w:space="0" w:color="auto"/>
              <w:right w:val="single" w:sz="4" w:space="0" w:color="auto"/>
            </w:tcBorders>
          </w:tcPr>
          <w:p w:rsidR="00AD6D79" w:rsidRPr="007A568A" w:rsidRDefault="00AD6D79" w:rsidP="00CA7DD4">
            <w:pPr>
              <w:jc w:val="center"/>
            </w:pPr>
            <w:r w:rsidRPr="007A568A">
              <w:t>890.890</w:t>
            </w:r>
          </w:p>
        </w:tc>
        <w:tc>
          <w:tcPr>
            <w:tcW w:w="1284" w:type="dxa"/>
            <w:tcBorders>
              <w:top w:val="single" w:sz="4" w:space="0" w:color="auto"/>
              <w:left w:val="single" w:sz="4" w:space="0" w:color="auto"/>
              <w:bottom w:val="single" w:sz="4" w:space="0" w:color="auto"/>
              <w:right w:val="single" w:sz="4" w:space="0" w:color="auto"/>
            </w:tcBorders>
          </w:tcPr>
          <w:p w:rsidR="00AD6D79" w:rsidRPr="007A568A" w:rsidRDefault="00AD6D79" w:rsidP="00CA7DD4">
            <w:pPr>
              <w:jc w:val="center"/>
            </w:pPr>
          </w:p>
        </w:tc>
        <w:tc>
          <w:tcPr>
            <w:tcW w:w="3023" w:type="dxa"/>
            <w:tcBorders>
              <w:top w:val="single" w:sz="4" w:space="0" w:color="auto"/>
              <w:left w:val="single" w:sz="4" w:space="0" w:color="auto"/>
              <w:bottom w:val="single" w:sz="4" w:space="0" w:color="auto"/>
              <w:right w:val="single" w:sz="4" w:space="0" w:color="auto"/>
            </w:tcBorders>
          </w:tcPr>
          <w:p w:rsidR="00AD6D79" w:rsidRPr="007A568A" w:rsidRDefault="00AD6D79" w:rsidP="00CA7DD4">
            <w:pPr>
              <w:jc w:val="center"/>
            </w:pPr>
          </w:p>
        </w:tc>
      </w:tr>
      <w:tr w:rsidR="00AD6D79" w:rsidRPr="007A568A" w:rsidTr="00A24BEF">
        <w:tc>
          <w:tcPr>
            <w:tcW w:w="5049" w:type="dxa"/>
            <w:gridSpan w:val="3"/>
            <w:tcBorders>
              <w:top w:val="single" w:sz="4" w:space="0" w:color="auto"/>
              <w:left w:val="single" w:sz="4" w:space="0" w:color="auto"/>
              <w:bottom w:val="single" w:sz="4" w:space="0" w:color="auto"/>
              <w:right w:val="single" w:sz="4" w:space="0" w:color="auto"/>
            </w:tcBorders>
            <w:hideMark/>
          </w:tcPr>
          <w:p w:rsidR="00AD6D79" w:rsidRPr="00202DC2" w:rsidRDefault="00AD6D79" w:rsidP="00CA7DD4">
            <w:r w:rsidRPr="00202DC2">
              <w:t>Kreditinis įsiskolinimas (pagal visus finansavimo šaltinius) 202</w:t>
            </w:r>
            <w:r w:rsidRPr="00202DC2">
              <w:rPr>
                <w:lang w:val="en-US"/>
              </w:rPr>
              <w:t>3</w:t>
            </w:r>
            <w:r w:rsidRPr="00202DC2">
              <w:t>-01-01</w:t>
            </w:r>
          </w:p>
        </w:tc>
        <w:tc>
          <w:tcPr>
            <w:tcW w:w="1284" w:type="dxa"/>
            <w:tcBorders>
              <w:top w:val="single" w:sz="4" w:space="0" w:color="auto"/>
              <w:left w:val="single" w:sz="4" w:space="0" w:color="auto"/>
              <w:bottom w:val="single" w:sz="4" w:space="0" w:color="auto"/>
              <w:right w:val="single" w:sz="4" w:space="0" w:color="auto"/>
            </w:tcBorders>
            <w:hideMark/>
          </w:tcPr>
          <w:p w:rsidR="00AD6D79" w:rsidRPr="00202DC2" w:rsidRDefault="00AD6D79" w:rsidP="00CA7DD4">
            <w:pPr>
              <w:jc w:val="center"/>
            </w:pPr>
            <w:r w:rsidRPr="00202DC2">
              <w:t>0.003</w:t>
            </w:r>
          </w:p>
        </w:tc>
        <w:tc>
          <w:tcPr>
            <w:tcW w:w="3023" w:type="dxa"/>
            <w:tcBorders>
              <w:top w:val="single" w:sz="4" w:space="0" w:color="auto"/>
              <w:left w:val="single" w:sz="4" w:space="0" w:color="auto"/>
              <w:bottom w:val="single" w:sz="4" w:space="0" w:color="auto"/>
              <w:right w:val="single" w:sz="4" w:space="0" w:color="auto"/>
            </w:tcBorders>
            <w:hideMark/>
          </w:tcPr>
          <w:p w:rsidR="00AD6D79" w:rsidRPr="00202DC2" w:rsidRDefault="00AD6D79" w:rsidP="00CA7DD4">
            <w:pPr>
              <w:jc w:val="both"/>
            </w:pPr>
            <w:r w:rsidRPr="00202DC2">
              <w:t>Sąskaita už gruodžio mėnesio ryšių paslaugas buvo pateikta 2023 m. sausio mėnesį</w:t>
            </w:r>
          </w:p>
        </w:tc>
      </w:tr>
    </w:tbl>
    <w:p w:rsidR="00AD6D79" w:rsidRPr="007A568A" w:rsidRDefault="00AD6D79" w:rsidP="00AD6D79">
      <w:pPr>
        <w:ind w:firstLine="567"/>
        <w:jc w:val="both"/>
        <w:rPr>
          <w:shd w:val="clear" w:color="auto" w:fill="FFFFFF"/>
          <w:lang w:eastAsia="ru-RU"/>
        </w:rPr>
      </w:pPr>
      <w:r w:rsidRPr="007A568A">
        <w:t>Įstaigoje atlikti patikrinimai:</w:t>
      </w:r>
      <w:r w:rsidR="00FB0FBB">
        <w:rPr>
          <w:shd w:val="clear" w:color="auto" w:fill="FFFFFF"/>
          <w:lang w:eastAsia="ru-RU"/>
        </w:rPr>
        <w:t xml:space="preserve"> </w:t>
      </w:r>
      <w:r w:rsidRPr="007A568A">
        <w:rPr>
          <w:shd w:val="clear" w:color="auto" w:fill="FFFFFF"/>
          <w:lang w:eastAsia="ru-RU"/>
        </w:rPr>
        <w:t>lauko įrenginių kontrolės įstaiga ,,INSPECTUM“</w:t>
      </w:r>
      <w:r w:rsidR="00FB0FBB">
        <w:rPr>
          <w:shd w:val="clear" w:color="auto" w:fill="FFFFFF"/>
          <w:lang w:eastAsia="ru-RU"/>
        </w:rPr>
        <w:t xml:space="preserve"> (</w:t>
      </w:r>
      <w:r w:rsidRPr="007A568A">
        <w:rPr>
          <w:shd w:val="clear" w:color="auto" w:fill="FFFFFF"/>
          <w:lang w:eastAsia="ru-RU"/>
        </w:rPr>
        <w:t>patikrinimo aktas Nr. P2520-94145-1-2022</w:t>
      </w:r>
      <w:r w:rsidR="00FB0FBB">
        <w:rPr>
          <w:shd w:val="clear" w:color="auto" w:fill="FFFFFF"/>
          <w:lang w:eastAsia="ru-RU"/>
        </w:rPr>
        <w:t>)</w:t>
      </w:r>
      <w:r w:rsidRPr="007A568A">
        <w:rPr>
          <w:shd w:val="clear" w:color="auto" w:fill="FFFFFF"/>
          <w:lang w:eastAsia="ru-RU"/>
        </w:rPr>
        <w:t xml:space="preserve">; </w:t>
      </w:r>
      <w:r w:rsidR="00FB0FBB" w:rsidRPr="007C5CB9">
        <w:rPr>
          <w:szCs w:val="20"/>
        </w:rPr>
        <w:t xml:space="preserve">Valstybinės maisto ir veterinarijos Klaipėdos departamento </w:t>
      </w:r>
      <w:r w:rsidRPr="007A568A">
        <w:rPr>
          <w:shd w:val="clear" w:color="auto" w:fill="FFFFFF"/>
          <w:lang w:eastAsia="ru-RU"/>
        </w:rPr>
        <w:t xml:space="preserve">patikrinimo aktas Nr. 37VMĮP-1831. Pažeidimų nenustatyta, rekomendacijos nepateiktos. </w:t>
      </w:r>
    </w:p>
    <w:p w:rsidR="00AD6D79" w:rsidRPr="007A568A" w:rsidRDefault="00AD6D79" w:rsidP="00AD6D79">
      <w:pPr>
        <w:ind w:firstLine="567"/>
        <w:jc w:val="both"/>
        <w:rPr>
          <w:sz w:val="28"/>
          <w:szCs w:val="28"/>
        </w:rPr>
      </w:pPr>
      <w:r w:rsidRPr="007A568A">
        <w:rPr>
          <w:shd w:val="clear" w:color="auto" w:fill="FFFFFF"/>
          <w:lang w:eastAsia="ru-RU"/>
        </w:rPr>
        <w:t>Problemos</w:t>
      </w:r>
      <w:r w:rsidRPr="007A568A">
        <w:t xml:space="preserve">, sąlygotos vidaus ir išorės faktorių: valstybės finansinės paramos </w:t>
      </w:r>
      <w:r w:rsidR="00FB0FBB">
        <w:t xml:space="preserve">trukūmas </w:t>
      </w:r>
      <w:r w:rsidRPr="007A568A">
        <w:t xml:space="preserve">ikimokyklinio ugdymo </w:t>
      </w:r>
      <w:r w:rsidR="00FB0FBB">
        <w:t>į</w:t>
      </w:r>
      <w:r w:rsidRPr="007A568A">
        <w:t xml:space="preserve">staigoms; </w:t>
      </w:r>
      <w:r w:rsidRPr="007A568A">
        <w:rPr>
          <w:shd w:val="clear" w:color="auto" w:fill="FFFFFF"/>
        </w:rPr>
        <w:t xml:space="preserve">švietimo pagalbos specialistų trūkumas dėl didėjančio vaikų, turinčių kalbos vystymosi sutrikimų, bendravimo sunkumų, emocinių sutrikimų, psichologinių problemų ir kt., skaičiaus; mokytojų, mokytojų padėjėjų kompetencijų stoka, </w:t>
      </w:r>
      <w:r w:rsidR="00FB0FBB">
        <w:rPr>
          <w:shd w:val="clear" w:color="auto" w:fill="FFFFFF"/>
        </w:rPr>
        <w:t xml:space="preserve">įgyvendinant </w:t>
      </w:r>
      <w:r w:rsidRPr="007A568A">
        <w:rPr>
          <w:shd w:val="clear" w:color="auto" w:fill="FFFFFF"/>
        </w:rPr>
        <w:t>įtrauk</w:t>
      </w:r>
      <w:r w:rsidR="00FB0FBB">
        <w:rPr>
          <w:shd w:val="clear" w:color="auto" w:fill="FFFFFF"/>
        </w:rPr>
        <w:t xml:space="preserve">ųjį </w:t>
      </w:r>
      <w:r w:rsidRPr="007A568A">
        <w:rPr>
          <w:shd w:val="clear" w:color="auto" w:fill="FFFFFF"/>
        </w:rPr>
        <w:t>ugdy</w:t>
      </w:r>
      <w:r w:rsidR="00FB0FBB">
        <w:rPr>
          <w:shd w:val="clear" w:color="auto" w:fill="FFFFFF"/>
        </w:rPr>
        <w:t>mą</w:t>
      </w:r>
      <w:r w:rsidRPr="007A568A">
        <w:rPr>
          <w:shd w:val="clear" w:color="auto" w:fill="FFFFFF"/>
        </w:rPr>
        <w:t>.</w:t>
      </w:r>
    </w:p>
    <w:p w:rsidR="004C067A" w:rsidRDefault="00AD6D79" w:rsidP="00AD6D79">
      <w:pPr>
        <w:ind w:firstLine="709"/>
        <w:jc w:val="both"/>
      </w:pPr>
      <w:r w:rsidRPr="007A568A">
        <w:t xml:space="preserve">Planuodama 2023 m. veiklą, Įstaigos bendruomenė susitarė dėl šių prioritetų: </w:t>
      </w:r>
      <w:r w:rsidRPr="007A568A">
        <w:rPr>
          <w:bCs/>
        </w:rPr>
        <w:t>sąlygų ugdytis kiekvienam vaikui, teikiant veiksmingą pagalbą, sudarymas</w:t>
      </w:r>
      <w:r w:rsidRPr="007A568A">
        <w:rPr>
          <w:bCs/>
          <w:caps/>
        </w:rPr>
        <w:t xml:space="preserve">; </w:t>
      </w:r>
      <w:r w:rsidRPr="007A568A">
        <w:rPr>
          <w:bCs/>
        </w:rPr>
        <w:t>priešmokyklinio amžiaus vaikų pasiekimų gerinimas, įgyvendinant atnaujintos priešmokyklinio ugdymo bendrosios programos turinį; sveikos, saugios, pozityvios ir šiuolaikinius ugdymo(si) reikalavimus atliepiančios edukacinės ir emocinės aplinkos kūrimas.</w:t>
      </w:r>
      <w:r>
        <w:t xml:space="preserve"> </w:t>
      </w:r>
    </w:p>
    <w:p w:rsidR="004C067A" w:rsidRDefault="004C067A" w:rsidP="004C067A"/>
    <w:p w:rsidR="004C067A" w:rsidRDefault="004C067A" w:rsidP="004C067A"/>
    <w:p w:rsidR="00AD6D79" w:rsidRDefault="00AD6D79" w:rsidP="004C067A">
      <w:r>
        <w:t>Direktorė</w:t>
      </w:r>
      <w:r>
        <w:tab/>
      </w:r>
      <w:r>
        <w:tab/>
      </w:r>
      <w:r>
        <w:tab/>
      </w:r>
      <w:r>
        <w:tab/>
      </w:r>
      <w:r>
        <w:tab/>
      </w:r>
      <w:r>
        <w:tab/>
        <w:t>Liana Žilinskienė</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B28B0">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32299"/>
    <w:rsid w:val="0006079E"/>
    <w:rsid w:val="00116FEC"/>
    <w:rsid w:val="0019615E"/>
    <w:rsid w:val="002B28B0"/>
    <w:rsid w:val="0034183E"/>
    <w:rsid w:val="003D5321"/>
    <w:rsid w:val="003E0BB3"/>
    <w:rsid w:val="004476DD"/>
    <w:rsid w:val="004C067A"/>
    <w:rsid w:val="00597EE8"/>
    <w:rsid w:val="005B434A"/>
    <w:rsid w:val="005F495C"/>
    <w:rsid w:val="00616F5A"/>
    <w:rsid w:val="00677042"/>
    <w:rsid w:val="007852EE"/>
    <w:rsid w:val="007B1666"/>
    <w:rsid w:val="00832CC9"/>
    <w:rsid w:val="008354D5"/>
    <w:rsid w:val="008E6E82"/>
    <w:rsid w:val="00985310"/>
    <w:rsid w:val="00A24BEF"/>
    <w:rsid w:val="00A339BB"/>
    <w:rsid w:val="00AD6D79"/>
    <w:rsid w:val="00AF7D08"/>
    <w:rsid w:val="00B750B6"/>
    <w:rsid w:val="00C57681"/>
    <w:rsid w:val="00CA4D3B"/>
    <w:rsid w:val="00D42B72"/>
    <w:rsid w:val="00D57F27"/>
    <w:rsid w:val="00DD319C"/>
    <w:rsid w:val="00E33871"/>
    <w:rsid w:val="00E56A73"/>
    <w:rsid w:val="00F1275A"/>
    <w:rsid w:val="00F47B61"/>
    <w:rsid w:val="00F72A1E"/>
    <w:rsid w:val="00FB0FBB"/>
    <w:rsid w:val="00FB1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Grietas">
    <w:name w:val="Strong"/>
    <w:basedOn w:val="Numatytasispastraiposriftas"/>
    <w:uiPriority w:val="22"/>
    <w:qFormat/>
    <w:rsid w:val="00AD6D79"/>
    <w:rPr>
      <w:b/>
      <w:bCs/>
    </w:rPr>
  </w:style>
  <w:style w:type="paragraph" w:styleId="Sraopastraipa">
    <w:name w:val="List Paragraph"/>
    <w:basedOn w:val="prastasis"/>
    <w:uiPriority w:val="34"/>
    <w:qFormat/>
    <w:rsid w:val="00AD6D79"/>
    <w:pPr>
      <w:spacing w:after="200" w:line="276" w:lineRule="auto"/>
      <w:ind w:left="720"/>
      <w:contextualSpacing/>
    </w:pPr>
    <w:rPr>
      <w:rFonts w:asciiTheme="minorHAnsi" w:eastAsiaTheme="minorEastAsia" w:hAnsiTheme="minorHAnsi" w:cstheme="minorBidi"/>
      <w:sz w:val="22"/>
      <w:szCs w:val="22"/>
    </w:rPr>
  </w:style>
  <w:style w:type="paragraph" w:customStyle="1" w:styleId="Default">
    <w:name w:val="Default"/>
    <w:rsid w:val="00AD6D7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6673</Words>
  <Characters>3805</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2023-05-02T11:33:00Z</dcterms:created>
  <dcterms:modified xsi:type="dcterms:W3CDTF">2023-05-04T06:05:00Z</dcterms:modified>
</cp:coreProperties>
</file>